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41" w:rsidRPr="00A56521" w:rsidRDefault="00A56521" w:rsidP="00A56521">
      <w:pPr>
        <w:pStyle w:val="Naslov"/>
        <w:rPr>
          <w:noProof/>
        </w:rPr>
      </w:pPr>
      <w:bookmarkStart w:id="0" w:name="_GoBack"/>
      <w:bookmarkEnd w:id="0"/>
      <w:r w:rsidRPr="00A56521">
        <w:rPr>
          <w:noProof/>
        </w:rPr>
        <w:t>Homoseksualnost</w:t>
      </w:r>
    </w:p>
    <w:p w:rsidR="000B338F" w:rsidRPr="000B338F" w:rsidRDefault="000B338F" w:rsidP="00A56521">
      <w:pPr>
        <w:pStyle w:val="Odstavekseznama"/>
        <w:numPr>
          <w:ilvl w:val="0"/>
          <w:numId w:val="1"/>
        </w:numPr>
        <w:rPr>
          <w:b/>
          <w:noProof/>
          <w:sz w:val="24"/>
          <w:szCs w:val="24"/>
        </w:rPr>
      </w:pPr>
      <w:r w:rsidRPr="000B338F">
        <w:rPr>
          <w:b/>
          <w:noProof/>
          <w:sz w:val="24"/>
          <w:szCs w:val="24"/>
        </w:rPr>
        <w:t>Definicija:</w:t>
      </w:r>
    </w:p>
    <w:p w:rsidR="00A56521" w:rsidRDefault="00836070" w:rsidP="000B338F">
      <w:pPr>
        <w:pStyle w:val="Odstavekseznama"/>
        <w:rPr>
          <w:noProof/>
          <w:sz w:val="24"/>
          <w:szCs w:val="24"/>
        </w:rPr>
      </w:pPr>
      <w:r w:rsidRPr="00671F23">
        <w:rPr>
          <w:noProof/>
          <w:sz w:val="24"/>
          <w:szCs w:val="24"/>
        </w:rPr>
        <w:t xml:space="preserve">Homoseksualnost je spolna nagnjenost do oseb istega spola. Pogosta izraza, ki ju povezujemo  s </w:t>
      </w:r>
      <w:r w:rsidR="001F312B">
        <w:rPr>
          <w:noProof/>
          <w:sz w:val="24"/>
          <w:szCs w:val="24"/>
        </w:rPr>
        <w:t>homoseksualnostjo sta »gej«, moš</w:t>
      </w:r>
      <w:r w:rsidRPr="00671F23">
        <w:rPr>
          <w:noProof/>
          <w:sz w:val="24"/>
          <w:szCs w:val="24"/>
        </w:rPr>
        <w:t>ki</w:t>
      </w:r>
      <w:r w:rsidR="001F312B">
        <w:rPr>
          <w:noProof/>
          <w:sz w:val="24"/>
          <w:szCs w:val="24"/>
        </w:rPr>
        <w:t xml:space="preserve"> homoseksualec  in »lezbijka«, ž</w:t>
      </w:r>
      <w:r w:rsidRPr="00671F23">
        <w:rPr>
          <w:noProof/>
          <w:sz w:val="24"/>
          <w:szCs w:val="24"/>
        </w:rPr>
        <w:t xml:space="preserve">enska homoseksualka. </w:t>
      </w:r>
    </w:p>
    <w:p w:rsidR="00D47F46" w:rsidRPr="00671F23" w:rsidRDefault="00D47F46" w:rsidP="00D47F46">
      <w:pPr>
        <w:pStyle w:val="Odstavekseznama"/>
        <w:rPr>
          <w:noProof/>
          <w:sz w:val="24"/>
          <w:szCs w:val="24"/>
        </w:rPr>
      </w:pPr>
    </w:p>
    <w:p w:rsidR="000B338F" w:rsidRPr="000B338F" w:rsidRDefault="000B338F" w:rsidP="00A56521">
      <w:pPr>
        <w:pStyle w:val="Odstavekseznama"/>
        <w:numPr>
          <w:ilvl w:val="0"/>
          <w:numId w:val="1"/>
        </w:numPr>
        <w:rPr>
          <w:b/>
          <w:noProof/>
          <w:sz w:val="24"/>
          <w:szCs w:val="24"/>
        </w:rPr>
      </w:pPr>
      <w:r w:rsidRPr="000B338F">
        <w:rPr>
          <w:b/>
          <w:noProof/>
          <w:sz w:val="24"/>
          <w:szCs w:val="24"/>
        </w:rPr>
        <w:t>Izvor:</w:t>
      </w:r>
    </w:p>
    <w:p w:rsidR="00836070" w:rsidRDefault="001F312B" w:rsidP="000B338F">
      <w:pPr>
        <w:pStyle w:val="Odstavekseznama"/>
        <w:rPr>
          <w:noProof/>
          <w:sz w:val="24"/>
          <w:szCs w:val="24"/>
        </w:rPr>
      </w:pPr>
      <w:r>
        <w:rPr>
          <w:noProof/>
          <w:sz w:val="24"/>
          <w:szCs w:val="24"/>
        </w:rPr>
        <w:t>Homoseksualnost izvira že iz antične Grč</w:t>
      </w:r>
      <w:r w:rsidR="00836070" w:rsidRPr="00671F23">
        <w:rPr>
          <w:noProof/>
          <w:sz w:val="24"/>
          <w:szCs w:val="24"/>
        </w:rPr>
        <w:t xml:space="preserve">ije, </w:t>
      </w:r>
      <w:r w:rsidR="00997F98" w:rsidRPr="00671F23">
        <w:rPr>
          <w:noProof/>
          <w:sz w:val="24"/>
          <w:szCs w:val="24"/>
        </w:rPr>
        <w:t>prav tako izvira od tod</w:t>
      </w:r>
      <w:r>
        <w:rPr>
          <w:noProof/>
          <w:sz w:val="24"/>
          <w:szCs w:val="24"/>
        </w:rPr>
        <w:t xml:space="preserve"> izraz za ž</w:t>
      </w:r>
      <w:r w:rsidR="00836070" w:rsidRPr="00671F23">
        <w:rPr>
          <w:noProof/>
          <w:sz w:val="24"/>
          <w:szCs w:val="24"/>
        </w:rPr>
        <w:t>enske homoseksualke (lezbijke)</w:t>
      </w:r>
      <w:r w:rsidR="00997F98" w:rsidRPr="00671F23">
        <w:rPr>
          <w:noProof/>
          <w:sz w:val="24"/>
          <w:szCs w:val="24"/>
        </w:rPr>
        <w:t xml:space="preserve">, </w:t>
      </w:r>
      <w:r w:rsidR="00836070" w:rsidRPr="00671F23">
        <w:rPr>
          <w:noProof/>
          <w:sz w:val="24"/>
          <w:szCs w:val="24"/>
        </w:rPr>
        <w:t>na</w:t>
      </w:r>
      <w:r>
        <w:rPr>
          <w:noProof/>
          <w:sz w:val="24"/>
          <w:szCs w:val="24"/>
        </w:rPr>
        <w:t>tanč</w:t>
      </w:r>
      <w:r w:rsidR="00997F98" w:rsidRPr="00671F23">
        <w:rPr>
          <w:noProof/>
          <w:sz w:val="24"/>
          <w:szCs w:val="24"/>
        </w:rPr>
        <w:t xml:space="preserve">neje </w:t>
      </w:r>
      <w:r>
        <w:rPr>
          <w:noProof/>
          <w:sz w:val="24"/>
          <w:szCs w:val="24"/>
        </w:rPr>
        <w:t>iz besede za grš</w:t>
      </w:r>
      <w:r w:rsidR="00836070" w:rsidRPr="00671F23">
        <w:rPr>
          <w:noProof/>
          <w:sz w:val="24"/>
          <w:szCs w:val="24"/>
        </w:rPr>
        <w:t>ki otok Lesbos, na katerem je pr</w:t>
      </w:r>
      <w:r w:rsidR="00662306">
        <w:rPr>
          <w:noProof/>
          <w:sz w:val="24"/>
          <w:szCs w:val="24"/>
        </w:rPr>
        <w:t>ebivala tudi najbolj znana antič</w:t>
      </w:r>
      <w:r w:rsidR="00836070" w:rsidRPr="00671F23">
        <w:rPr>
          <w:noProof/>
          <w:sz w:val="24"/>
          <w:szCs w:val="24"/>
        </w:rPr>
        <w:t>na pesnica Sapfo. Ta naj bi bila tudi lezbijka, saj je v svojih pesmih opiso</w:t>
      </w:r>
      <w:r w:rsidR="00662306">
        <w:rPr>
          <w:noProof/>
          <w:sz w:val="24"/>
          <w:szCs w:val="24"/>
        </w:rPr>
        <w:t>vala svoja nagnjenja do mlajš</w:t>
      </w:r>
      <w:r w:rsidR="00997F98" w:rsidRPr="00671F23">
        <w:rPr>
          <w:noProof/>
          <w:sz w:val="24"/>
          <w:szCs w:val="24"/>
        </w:rPr>
        <w:t>ega dekleta.</w:t>
      </w:r>
    </w:p>
    <w:p w:rsidR="00D47F46" w:rsidRPr="00671F23" w:rsidRDefault="00D47F46" w:rsidP="00D47F46">
      <w:pPr>
        <w:pStyle w:val="Odstavekseznama"/>
        <w:rPr>
          <w:noProof/>
          <w:sz w:val="24"/>
          <w:szCs w:val="24"/>
        </w:rPr>
      </w:pPr>
    </w:p>
    <w:p w:rsidR="000B338F" w:rsidRPr="000B338F" w:rsidRDefault="00662306" w:rsidP="000B338F">
      <w:pPr>
        <w:pStyle w:val="Odstavekseznama"/>
        <w:numPr>
          <w:ilvl w:val="0"/>
          <w:numId w:val="1"/>
        </w:num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Odnos druž</w:t>
      </w:r>
      <w:r w:rsidR="000B338F" w:rsidRPr="000B338F">
        <w:rPr>
          <w:b/>
          <w:noProof/>
          <w:sz w:val="24"/>
          <w:szCs w:val="24"/>
        </w:rPr>
        <w:t>be do homoseksualcev:</w:t>
      </w:r>
    </w:p>
    <w:p w:rsidR="000B338F" w:rsidRPr="000B338F" w:rsidRDefault="00671F23" w:rsidP="000B338F">
      <w:pPr>
        <w:pStyle w:val="Odstavekseznama"/>
        <w:rPr>
          <w:noProof/>
          <w:sz w:val="24"/>
          <w:szCs w:val="24"/>
        </w:rPr>
      </w:pPr>
      <w:r w:rsidRPr="00671F23">
        <w:rPr>
          <w:noProof/>
          <w:sz w:val="24"/>
          <w:szCs w:val="24"/>
        </w:rPr>
        <w:t>Odzivi na pri</w:t>
      </w:r>
      <w:r w:rsidR="00662306">
        <w:rPr>
          <w:noProof/>
          <w:sz w:val="24"/>
          <w:szCs w:val="24"/>
        </w:rPr>
        <w:t>sotnost  homoseksualnosti v družbi so zelo različ</w:t>
      </w:r>
      <w:r w:rsidRPr="00671F23">
        <w:rPr>
          <w:noProof/>
          <w:sz w:val="24"/>
          <w:szCs w:val="24"/>
        </w:rPr>
        <w:t>ni. Nekateri ljudje jo z lahko</w:t>
      </w:r>
      <w:r w:rsidR="00662306">
        <w:rPr>
          <w:noProof/>
          <w:sz w:val="24"/>
          <w:szCs w:val="24"/>
        </w:rPr>
        <w:t>to sprejmejo in jih to ne moti,</w:t>
      </w:r>
      <w:r w:rsidRPr="00671F23">
        <w:rPr>
          <w:noProof/>
          <w:sz w:val="24"/>
          <w:szCs w:val="24"/>
        </w:rPr>
        <w:t xml:space="preserve"> ve</w:t>
      </w:r>
      <w:r w:rsidR="00662306">
        <w:rPr>
          <w:noProof/>
          <w:sz w:val="24"/>
          <w:szCs w:val="24"/>
        </w:rPr>
        <w:t>čina pa je takih, ki jih takš</w:t>
      </w:r>
      <w:r w:rsidR="000B338F">
        <w:rPr>
          <w:noProof/>
          <w:sz w:val="24"/>
          <w:szCs w:val="24"/>
        </w:rPr>
        <w:t>na</w:t>
      </w:r>
      <w:r w:rsidRPr="00671F23">
        <w:rPr>
          <w:noProof/>
          <w:sz w:val="24"/>
          <w:szCs w:val="24"/>
        </w:rPr>
        <w:t xml:space="preserve"> spolna usmerjenost moti.</w:t>
      </w:r>
      <w:r w:rsidR="00662306">
        <w:rPr>
          <w:noProof/>
          <w:sz w:val="24"/>
          <w:szCs w:val="24"/>
        </w:rPr>
        <w:t xml:space="preserve"> To je razlog za mnoge druž</w:t>
      </w:r>
      <w:r w:rsidRPr="00671F23">
        <w:rPr>
          <w:noProof/>
          <w:sz w:val="24"/>
          <w:szCs w:val="24"/>
        </w:rPr>
        <w:t>bene konflikte, saj se pri hom</w:t>
      </w:r>
      <w:r w:rsidR="00662306">
        <w:rPr>
          <w:noProof/>
          <w:sz w:val="24"/>
          <w:szCs w:val="24"/>
        </w:rPr>
        <w:t>oseksualnih parih porajajo vpraš</w:t>
      </w:r>
      <w:r w:rsidRPr="00671F23">
        <w:rPr>
          <w:noProof/>
          <w:sz w:val="24"/>
          <w:szCs w:val="24"/>
        </w:rPr>
        <w:t>anja vezana na religijo, poroke ter vzgojo otrok.  Posledica tega je ustanavljanje raznih skupnosti, ki podpi</w:t>
      </w:r>
      <w:r w:rsidR="00662306">
        <w:rPr>
          <w:noProof/>
          <w:sz w:val="24"/>
          <w:szCs w:val="24"/>
        </w:rPr>
        <w:t>rajo oz. nasprotujejo skupnemu ž</w:t>
      </w:r>
      <w:r w:rsidRPr="00671F23">
        <w:rPr>
          <w:noProof/>
          <w:sz w:val="24"/>
          <w:szCs w:val="24"/>
        </w:rPr>
        <w:t>ivljenju homoseksualcev.</w:t>
      </w:r>
    </w:p>
    <w:p w:rsidR="000B338F" w:rsidRDefault="000B338F" w:rsidP="00D47F46">
      <w:pPr>
        <w:pStyle w:val="Odstavekseznama"/>
        <w:rPr>
          <w:noProof/>
          <w:sz w:val="24"/>
          <w:szCs w:val="24"/>
        </w:rPr>
      </w:pPr>
    </w:p>
    <w:p w:rsidR="00671F23" w:rsidRDefault="00296793" w:rsidP="00671F23">
      <w:pPr>
        <w:pStyle w:val="Odstavekseznama"/>
        <w:rPr>
          <w:noProof/>
          <w:sz w:val="24"/>
          <w:szCs w:val="24"/>
        </w:rPr>
      </w:pPr>
      <w:r>
        <w:rPr>
          <w:noProof/>
          <w:sz w:val="24"/>
          <w:szCs w:val="24"/>
        </w:rPr>
        <w:t>Ena izmed glavnih zagovornic gejevstva je organizacija LGBT (lesbian, gay, bisexual, transgen</w:t>
      </w:r>
      <w:r w:rsidR="00662306">
        <w:rPr>
          <w:noProof/>
          <w:sz w:val="24"/>
          <w:szCs w:val="24"/>
        </w:rPr>
        <w:t>der). Za to organizacijo so znač</w:t>
      </w:r>
      <w:r>
        <w:rPr>
          <w:noProof/>
          <w:sz w:val="24"/>
          <w:szCs w:val="24"/>
        </w:rPr>
        <w:t>ilne t. i. »Parade ponosa«, na katerih homoseksualci po celem svet</w:t>
      </w:r>
      <w:r w:rsidR="00662306">
        <w:rPr>
          <w:noProof/>
          <w:sz w:val="24"/>
          <w:szCs w:val="24"/>
        </w:rPr>
        <w:t>u demonstrirajo in zahtevajo več</w:t>
      </w:r>
      <w:r>
        <w:rPr>
          <w:noProof/>
          <w:sz w:val="24"/>
          <w:szCs w:val="24"/>
        </w:rPr>
        <w:t xml:space="preserve"> pravic.</w:t>
      </w:r>
    </w:p>
    <w:p w:rsidR="00296793" w:rsidRDefault="009B5319" w:rsidP="00671F23">
      <w:pPr>
        <w:pStyle w:val="Odstavekseznama"/>
        <w:rPr>
          <w:noProof/>
          <w:sz w:val="24"/>
          <w:szCs w:val="24"/>
        </w:rPr>
      </w:pPr>
      <w:r>
        <w:rPr>
          <w:noProof/>
          <w:sz w:val="24"/>
          <w:szCs w:val="24"/>
        </w:rPr>
        <w:t>Veliko pa je tudi organizac</w:t>
      </w:r>
      <w:r w:rsidR="00662306">
        <w:rPr>
          <w:noProof/>
          <w:sz w:val="24"/>
          <w:szCs w:val="24"/>
        </w:rPr>
        <w:t>ij, ki temu nasprotujejo. Največ</w:t>
      </w:r>
      <w:r>
        <w:rPr>
          <w:noProof/>
          <w:sz w:val="24"/>
          <w:szCs w:val="24"/>
        </w:rPr>
        <w:t xml:space="preserve"> jih je povezanih z religijo, nekatere pa, kot npr. National Organization for Marriage, pa niso. Ta nasprotuje predvsem i</w:t>
      </w:r>
      <w:r w:rsidR="00662306">
        <w:rPr>
          <w:noProof/>
          <w:sz w:val="24"/>
          <w:szCs w:val="24"/>
        </w:rPr>
        <w:t>stospolnim porokam in posvojitv</w:t>
      </w:r>
      <w:r>
        <w:rPr>
          <w:noProof/>
          <w:sz w:val="24"/>
          <w:szCs w:val="24"/>
        </w:rPr>
        <w:t>i otrok.</w:t>
      </w:r>
    </w:p>
    <w:p w:rsidR="000B338F" w:rsidRDefault="000B338F" w:rsidP="00671F23">
      <w:pPr>
        <w:pStyle w:val="Odstavekseznama"/>
        <w:rPr>
          <w:noProof/>
          <w:sz w:val="24"/>
          <w:szCs w:val="24"/>
        </w:rPr>
      </w:pPr>
    </w:p>
    <w:p w:rsidR="009A1E3A" w:rsidRPr="00EE2419" w:rsidRDefault="00662306" w:rsidP="00EE2419">
      <w:pPr>
        <w:pStyle w:val="Odstavekseznama"/>
        <w:rPr>
          <w:noProof/>
          <w:sz w:val="24"/>
          <w:szCs w:val="24"/>
        </w:rPr>
      </w:pPr>
      <w:r>
        <w:rPr>
          <w:noProof/>
          <w:sz w:val="24"/>
          <w:szCs w:val="24"/>
        </w:rPr>
        <w:t>Kljub temu, da je današnja družba š</w:t>
      </w:r>
      <w:r w:rsidR="000B338F">
        <w:rPr>
          <w:noProof/>
          <w:sz w:val="24"/>
          <w:szCs w:val="24"/>
        </w:rPr>
        <w:t xml:space="preserve">e vedno precej </w:t>
      </w:r>
      <w:r>
        <w:rPr>
          <w:noProof/>
          <w:sz w:val="24"/>
          <w:szCs w:val="24"/>
        </w:rPr>
        <w:t>»homofobič</w:t>
      </w:r>
      <w:r w:rsidR="000B338F">
        <w:rPr>
          <w:noProof/>
          <w:sz w:val="24"/>
          <w:szCs w:val="24"/>
        </w:rPr>
        <w:t>na«</w:t>
      </w:r>
      <w:r>
        <w:rPr>
          <w:noProof/>
          <w:sz w:val="24"/>
          <w:szCs w:val="24"/>
        </w:rPr>
        <w:t>, so homoseksualci</w:t>
      </w:r>
      <w:r w:rsidR="000B338F">
        <w:rPr>
          <w:noProof/>
          <w:sz w:val="24"/>
          <w:szCs w:val="24"/>
        </w:rPr>
        <w:t xml:space="preserve"> vedno bolje sprejeti. K temu je pripomoglo tudi spoznanje, da je homoseksu</w:t>
      </w:r>
      <w:r>
        <w:rPr>
          <w:noProof/>
          <w:sz w:val="24"/>
          <w:szCs w:val="24"/>
        </w:rPr>
        <w:t>alnost nekaj naravnega in ne duš</w:t>
      </w:r>
      <w:r w:rsidR="000B338F">
        <w:rPr>
          <w:noProof/>
          <w:sz w:val="24"/>
          <w:szCs w:val="24"/>
        </w:rPr>
        <w:t xml:space="preserve">evna motnja ali celo bolezen. </w:t>
      </w:r>
      <w:r>
        <w:rPr>
          <w:noProof/>
          <w:sz w:val="24"/>
          <w:szCs w:val="24"/>
        </w:rPr>
        <w:t>Spoznanju je sledilo č</w:t>
      </w:r>
      <w:r w:rsidR="00320622">
        <w:rPr>
          <w:noProof/>
          <w:sz w:val="24"/>
          <w:szCs w:val="24"/>
        </w:rPr>
        <w:t>rtanje homoseksualnosti s seznama bolezni Svetovne zdravstvene organizacije</w:t>
      </w:r>
      <w:r w:rsidR="00EE2419">
        <w:rPr>
          <w:noProof/>
          <w:sz w:val="24"/>
          <w:szCs w:val="24"/>
        </w:rPr>
        <w:t>.</w:t>
      </w:r>
    </w:p>
    <w:p w:rsidR="00F83EB3" w:rsidRDefault="00B63BD5" w:rsidP="00B63BD5">
      <w:pPr>
        <w:rPr>
          <w:noProof/>
        </w:rPr>
      </w:pPr>
      <w:r>
        <w:rPr>
          <w:noProof/>
        </w:rPr>
        <w:br w:type="page"/>
      </w:r>
    </w:p>
    <w:p w:rsidR="00F83EB3" w:rsidRPr="00DD4C25" w:rsidRDefault="00F83EB3" w:rsidP="00F83EB3">
      <w:pPr>
        <w:pStyle w:val="Odstavekseznama"/>
        <w:numPr>
          <w:ilvl w:val="0"/>
          <w:numId w:val="1"/>
        </w:numPr>
        <w:rPr>
          <w:b/>
          <w:noProof/>
        </w:rPr>
      </w:pPr>
      <w:r w:rsidRPr="00DD4C25">
        <w:rPr>
          <w:b/>
          <w:noProof/>
        </w:rPr>
        <w:lastRenderedPageBreak/>
        <w:t>Uzakonjenost homoseksualnosti po svetu:</w:t>
      </w:r>
    </w:p>
    <w:p w:rsidR="00D47F46" w:rsidRDefault="00EE2419" w:rsidP="00EE2419">
      <w:pPr>
        <w:jc w:val="center"/>
        <w:rPr>
          <w:noProof/>
        </w:rPr>
      </w:pPr>
      <w:r w:rsidRPr="009B5319">
        <w:rPr>
          <w:noProof/>
          <w:lang w:eastAsia="sl-SI"/>
        </w:rPr>
        <w:drawing>
          <wp:inline distT="0" distB="0" distL="0" distR="0" wp14:anchorId="4D80ADE7" wp14:editId="5C9C5D45">
            <wp:extent cx="3682181" cy="1866900"/>
            <wp:effectExtent l="0" t="0" r="0" b="0"/>
            <wp:docPr id="1" name="Grafik 1" descr="https://upload.wikimedia.org/wikipedia/commons/thumb/d/d1/World_laws_pertaining_to_homosexual_relationships_and_expression.svg/856px-World_laws_pertaining_to_homosexual_relationships_and_express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1/World_laws_pertaining_to_homosexual_relationships_and_expression.svg/856px-World_laws_pertaining_to_homosexual_relationships_and_expression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853" cy="186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84"/>
        <w:tblOverlap w:val="never"/>
        <w:tblW w:w="9959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561"/>
        <w:gridCol w:w="667"/>
        <w:gridCol w:w="4064"/>
      </w:tblGrid>
      <w:tr w:rsidR="00EE2419" w:rsidRPr="00EE2419" w:rsidTr="00EE2419">
        <w:trPr>
          <w:trHeight w:val="184"/>
        </w:trPr>
        <w:tc>
          <w:tcPr>
            <w:tcW w:w="667" w:type="dxa"/>
            <w:shd w:val="clear" w:color="auto" w:fill="F9F9F9"/>
            <w:tcMar>
              <w:top w:w="48" w:type="dxa"/>
              <w:left w:w="72" w:type="dxa"/>
              <w:bottom w:w="72" w:type="dxa"/>
              <w:right w:w="72" w:type="dxa"/>
            </w:tcMar>
            <w:hideMark/>
          </w:tcPr>
          <w:p w:rsidR="00EE2419" w:rsidRPr="00BF0FF7" w:rsidRDefault="00EE2419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lang w:val="de-DE" w:eastAsia="de-DE"/>
              </w:rPr>
            </w:pPr>
            <w:r w:rsidRPr="00BF0FF7">
              <w:rPr>
                <w:rFonts w:ascii="Arial" w:eastAsia="Times New Roman" w:hAnsi="Arial" w:cs="Arial"/>
                <w:color w:val="000000"/>
                <w:bdr w:val="single" w:sz="6" w:space="0" w:color="000000" w:frame="1"/>
                <w:shd w:val="clear" w:color="auto" w:fill="002255"/>
                <w:lang w:val="de-DE" w:eastAsia="de-DE"/>
              </w:rPr>
              <w:t> </w:t>
            </w:r>
            <w:r w:rsidRPr="00BF0FF7">
              <w:rPr>
                <w:rFonts w:ascii="Arial" w:eastAsia="Times New Roman" w:hAnsi="Arial" w:cs="Arial"/>
                <w:color w:val="252525"/>
                <w:lang w:val="de-DE" w:eastAsia="de-DE"/>
              </w:rPr>
              <w:t> </w:t>
            </w:r>
          </w:p>
        </w:tc>
        <w:tc>
          <w:tcPr>
            <w:tcW w:w="4561" w:type="dxa"/>
            <w:shd w:val="clear" w:color="auto" w:fill="F9F9F9"/>
            <w:tcMar>
              <w:top w:w="48" w:type="dxa"/>
              <w:left w:w="72" w:type="dxa"/>
              <w:bottom w:w="72" w:type="dxa"/>
              <w:right w:w="240" w:type="dxa"/>
            </w:tcMar>
            <w:hideMark/>
          </w:tcPr>
          <w:p w:rsidR="00EE2419" w:rsidRPr="00EE2419" w:rsidRDefault="00F82B2A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</w:pPr>
            <w:hyperlink r:id="rId8" w:tooltip="Same-sex marriage" w:history="1">
              <w:proofErr w:type="spellStart"/>
              <w:r w:rsidR="00EE2419" w:rsidRPr="00EE2419">
                <w:rPr>
                  <w:rFonts w:ascii="Arial" w:eastAsia="Times New Roman" w:hAnsi="Arial" w:cs="Arial"/>
                  <w:color w:val="0B0080"/>
                  <w:sz w:val="20"/>
                  <w:szCs w:val="20"/>
                  <w:lang w:val="de-DE" w:eastAsia="de-DE"/>
                </w:rPr>
                <w:t>Poroka</w:t>
              </w:r>
              <w:proofErr w:type="spellEnd"/>
            </w:hyperlink>
          </w:p>
        </w:tc>
        <w:tc>
          <w:tcPr>
            <w:tcW w:w="667" w:type="dxa"/>
            <w:shd w:val="clear" w:color="auto" w:fill="F9F9F9"/>
            <w:tcMar>
              <w:top w:w="48" w:type="dxa"/>
              <w:left w:w="72" w:type="dxa"/>
              <w:bottom w:w="72" w:type="dxa"/>
              <w:right w:w="72" w:type="dxa"/>
            </w:tcMar>
            <w:hideMark/>
          </w:tcPr>
          <w:p w:rsidR="00EE2419" w:rsidRPr="00EE2419" w:rsidRDefault="00EE2419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</w:pPr>
            <w:r w:rsidRPr="00EE241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6" w:space="0" w:color="000000" w:frame="1"/>
                <w:shd w:val="clear" w:color="auto" w:fill="DECD87"/>
                <w:lang w:val="de-DE" w:eastAsia="de-DE"/>
              </w:rPr>
              <w:t> </w:t>
            </w:r>
            <w:r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4064" w:type="dxa"/>
            <w:shd w:val="clear" w:color="auto" w:fill="F9F9F9"/>
            <w:tcMar>
              <w:top w:w="48" w:type="dxa"/>
              <w:left w:w="72" w:type="dxa"/>
              <w:bottom w:w="72" w:type="dxa"/>
              <w:right w:w="72" w:type="dxa"/>
            </w:tcMar>
            <w:hideMark/>
          </w:tcPr>
          <w:p w:rsidR="00EE2419" w:rsidRPr="00EE2419" w:rsidRDefault="00662306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Omejena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svoboda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izraž</w:t>
            </w:r>
            <w:r w:rsidR="00AC3C32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anja</w:t>
            </w:r>
            <w:proofErr w:type="spellEnd"/>
          </w:p>
        </w:tc>
      </w:tr>
      <w:tr w:rsidR="00EE2419" w:rsidRPr="00EE2419" w:rsidTr="00EE2419">
        <w:trPr>
          <w:trHeight w:val="184"/>
        </w:trPr>
        <w:tc>
          <w:tcPr>
            <w:tcW w:w="667" w:type="dxa"/>
            <w:shd w:val="clear" w:color="auto" w:fill="F9F9F9"/>
            <w:tcMar>
              <w:top w:w="48" w:type="dxa"/>
              <w:left w:w="72" w:type="dxa"/>
              <w:bottom w:w="72" w:type="dxa"/>
              <w:right w:w="72" w:type="dxa"/>
            </w:tcMar>
            <w:hideMark/>
          </w:tcPr>
          <w:p w:rsidR="00EE2419" w:rsidRPr="00BF0FF7" w:rsidRDefault="00EE2419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lang w:val="de-DE" w:eastAsia="de-DE"/>
              </w:rPr>
            </w:pPr>
            <w:r w:rsidRPr="00BF0FF7">
              <w:rPr>
                <w:rFonts w:ascii="Arial" w:eastAsia="Times New Roman" w:hAnsi="Arial" w:cs="Arial"/>
                <w:color w:val="000000"/>
                <w:bdr w:val="single" w:sz="6" w:space="0" w:color="000000" w:frame="1"/>
                <w:shd w:val="clear" w:color="auto" w:fill="0066FF"/>
                <w:lang w:val="de-DE" w:eastAsia="de-DE"/>
              </w:rPr>
              <w:t> </w:t>
            </w:r>
            <w:r w:rsidRPr="00BF0FF7">
              <w:rPr>
                <w:rFonts w:ascii="Arial" w:eastAsia="Times New Roman" w:hAnsi="Arial" w:cs="Arial"/>
                <w:color w:val="252525"/>
                <w:lang w:val="de-DE" w:eastAsia="de-DE"/>
              </w:rPr>
              <w:t> </w:t>
            </w:r>
          </w:p>
        </w:tc>
        <w:tc>
          <w:tcPr>
            <w:tcW w:w="4561" w:type="dxa"/>
            <w:shd w:val="clear" w:color="auto" w:fill="F9F9F9"/>
            <w:tcMar>
              <w:top w:w="48" w:type="dxa"/>
              <w:left w:w="72" w:type="dxa"/>
              <w:bottom w:w="72" w:type="dxa"/>
              <w:right w:w="240" w:type="dxa"/>
            </w:tcMar>
            <w:hideMark/>
          </w:tcPr>
          <w:p w:rsidR="00EE2419" w:rsidRPr="00EE2419" w:rsidRDefault="00662306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Vključ</w:t>
            </w:r>
            <w:r w:rsidR="00EE2419"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itev</w:t>
            </w:r>
            <w:proofErr w:type="spellEnd"/>
            <w:r w:rsidR="00EE2419"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 xml:space="preserve"> v </w:t>
            </w:r>
            <w:proofErr w:type="spellStart"/>
            <w:r w:rsidR="00EE2419"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civilne</w:t>
            </w:r>
            <w:proofErr w:type="spellEnd"/>
            <w:r w:rsidR="00EE2419"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EE2419"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skupnosti</w:t>
            </w:r>
            <w:proofErr w:type="spellEnd"/>
          </w:p>
        </w:tc>
        <w:tc>
          <w:tcPr>
            <w:tcW w:w="667" w:type="dxa"/>
            <w:shd w:val="clear" w:color="auto" w:fill="F9F9F9"/>
            <w:tcMar>
              <w:top w:w="48" w:type="dxa"/>
              <w:left w:w="72" w:type="dxa"/>
              <w:bottom w:w="72" w:type="dxa"/>
              <w:right w:w="72" w:type="dxa"/>
            </w:tcMar>
            <w:hideMark/>
          </w:tcPr>
          <w:p w:rsidR="00EE2419" w:rsidRPr="00EE2419" w:rsidRDefault="00EE2419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</w:pPr>
            <w:r w:rsidRPr="00EE241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6" w:space="0" w:color="000000" w:frame="1"/>
                <w:shd w:val="clear" w:color="auto" w:fill="F9DC36"/>
                <w:lang w:val="de-DE" w:eastAsia="de-DE"/>
              </w:rPr>
              <w:t> </w:t>
            </w:r>
            <w:r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4064" w:type="dxa"/>
            <w:shd w:val="clear" w:color="auto" w:fill="F9F9F9"/>
            <w:tcMar>
              <w:top w:w="48" w:type="dxa"/>
              <w:left w:w="72" w:type="dxa"/>
              <w:bottom w:w="72" w:type="dxa"/>
              <w:right w:w="72" w:type="dxa"/>
            </w:tcMar>
            <w:hideMark/>
          </w:tcPr>
          <w:p w:rsidR="00EE2419" w:rsidRPr="00EE2419" w:rsidRDefault="005072DB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Neuveljavljena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kazen</w:t>
            </w:r>
            <w:proofErr w:type="spellEnd"/>
          </w:p>
        </w:tc>
      </w:tr>
      <w:tr w:rsidR="00EE2419" w:rsidRPr="00EE2419" w:rsidTr="00EE2419">
        <w:trPr>
          <w:trHeight w:val="188"/>
        </w:trPr>
        <w:tc>
          <w:tcPr>
            <w:tcW w:w="667" w:type="dxa"/>
            <w:shd w:val="clear" w:color="auto" w:fill="F9F9F9"/>
            <w:tcMar>
              <w:top w:w="48" w:type="dxa"/>
              <w:left w:w="72" w:type="dxa"/>
              <w:bottom w:w="72" w:type="dxa"/>
              <w:right w:w="72" w:type="dxa"/>
            </w:tcMar>
            <w:hideMark/>
          </w:tcPr>
          <w:p w:rsidR="00EE2419" w:rsidRPr="00BF0FF7" w:rsidRDefault="00EE2419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lang w:val="de-DE" w:eastAsia="de-DE"/>
              </w:rPr>
            </w:pPr>
            <w:r w:rsidRPr="00BF0FF7">
              <w:rPr>
                <w:rFonts w:ascii="Arial" w:eastAsia="Times New Roman" w:hAnsi="Arial" w:cs="Arial"/>
                <w:color w:val="000000"/>
                <w:bdr w:val="single" w:sz="6" w:space="0" w:color="000000" w:frame="1"/>
                <w:shd w:val="clear" w:color="auto" w:fill="00FFDE"/>
                <w:lang w:val="de-DE" w:eastAsia="de-DE"/>
              </w:rPr>
              <w:t> </w:t>
            </w:r>
            <w:r w:rsidRPr="00BF0FF7">
              <w:rPr>
                <w:rFonts w:ascii="Arial" w:eastAsia="Times New Roman" w:hAnsi="Arial" w:cs="Arial"/>
                <w:color w:val="252525"/>
                <w:lang w:val="de-DE" w:eastAsia="de-DE"/>
              </w:rPr>
              <w:t> </w:t>
            </w:r>
          </w:p>
        </w:tc>
        <w:tc>
          <w:tcPr>
            <w:tcW w:w="4561" w:type="dxa"/>
            <w:shd w:val="clear" w:color="auto" w:fill="F9F9F9"/>
            <w:tcMar>
              <w:top w:w="48" w:type="dxa"/>
              <w:left w:w="72" w:type="dxa"/>
              <w:bottom w:w="72" w:type="dxa"/>
              <w:right w:w="240" w:type="dxa"/>
            </w:tcMar>
            <w:hideMark/>
          </w:tcPr>
          <w:p w:rsidR="00EE2419" w:rsidRPr="00AC3C32" w:rsidRDefault="00AC3C32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</w:pPr>
            <w:proofErr w:type="spellStart"/>
            <w:r w:rsidRPr="00AC3C32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Poroka</w:t>
            </w:r>
            <w:proofErr w:type="spellEnd"/>
            <w:r w:rsidRPr="00AC3C32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C3C32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zaznana</w:t>
            </w:r>
            <w:proofErr w:type="spellEnd"/>
            <w:r w:rsidRPr="00AC3C32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AC3C32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vendar</w:t>
            </w:r>
            <w:proofErr w:type="spellEnd"/>
            <w:r w:rsidRPr="00AC3C32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 xml:space="preserve"> ne </w:t>
            </w:r>
            <w:proofErr w:type="spellStart"/>
            <w:r w:rsidRPr="00AC3C32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prakticirana</w:t>
            </w:r>
            <w:proofErr w:type="spellEnd"/>
          </w:p>
        </w:tc>
        <w:tc>
          <w:tcPr>
            <w:tcW w:w="667" w:type="dxa"/>
            <w:shd w:val="clear" w:color="auto" w:fill="F9F9F9"/>
            <w:tcMar>
              <w:top w:w="48" w:type="dxa"/>
              <w:left w:w="72" w:type="dxa"/>
              <w:bottom w:w="72" w:type="dxa"/>
              <w:right w:w="72" w:type="dxa"/>
            </w:tcMar>
            <w:hideMark/>
          </w:tcPr>
          <w:p w:rsidR="00EE2419" w:rsidRPr="00AC3C32" w:rsidRDefault="00EE2419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</w:pPr>
            <w:r w:rsidRPr="00AC3C32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6" w:space="0" w:color="000000" w:frame="1"/>
                <w:shd w:val="clear" w:color="auto" w:fill="EC8028"/>
                <w:lang w:val="de-DE" w:eastAsia="de-DE"/>
              </w:rPr>
              <w:t> </w:t>
            </w:r>
            <w:r w:rsidRPr="00AC3C32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4064" w:type="dxa"/>
            <w:shd w:val="clear" w:color="auto" w:fill="F9F9F9"/>
            <w:tcMar>
              <w:top w:w="48" w:type="dxa"/>
              <w:left w:w="72" w:type="dxa"/>
              <w:bottom w:w="72" w:type="dxa"/>
              <w:right w:w="72" w:type="dxa"/>
            </w:tcMar>
            <w:hideMark/>
          </w:tcPr>
          <w:p w:rsidR="00EE2419" w:rsidRPr="00EE2419" w:rsidRDefault="00EE2419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</w:pPr>
            <w:proofErr w:type="spellStart"/>
            <w:r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Zaporna</w:t>
            </w:r>
            <w:proofErr w:type="spellEnd"/>
            <w:r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kazen</w:t>
            </w:r>
            <w:proofErr w:type="spellEnd"/>
          </w:p>
        </w:tc>
      </w:tr>
      <w:tr w:rsidR="00EE2419" w:rsidRPr="00EE2419" w:rsidTr="00EE2419">
        <w:trPr>
          <w:trHeight w:val="184"/>
        </w:trPr>
        <w:tc>
          <w:tcPr>
            <w:tcW w:w="667" w:type="dxa"/>
            <w:shd w:val="clear" w:color="auto" w:fill="F9F9F9"/>
            <w:tcMar>
              <w:top w:w="48" w:type="dxa"/>
              <w:left w:w="72" w:type="dxa"/>
              <w:bottom w:w="72" w:type="dxa"/>
              <w:right w:w="72" w:type="dxa"/>
            </w:tcMar>
            <w:hideMark/>
          </w:tcPr>
          <w:p w:rsidR="00EE2419" w:rsidRPr="00BF0FF7" w:rsidRDefault="00EE2419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lang w:val="de-DE" w:eastAsia="de-DE"/>
              </w:rPr>
            </w:pPr>
            <w:r w:rsidRPr="00BF0FF7">
              <w:rPr>
                <w:rFonts w:ascii="Arial" w:eastAsia="Times New Roman" w:hAnsi="Arial" w:cs="Arial"/>
                <w:color w:val="000000"/>
                <w:bdr w:val="single" w:sz="6" w:space="0" w:color="000000" w:frame="1"/>
                <w:shd w:val="clear" w:color="auto" w:fill="CCCCCC"/>
                <w:lang w:val="de-DE" w:eastAsia="de-DE"/>
              </w:rPr>
              <w:t> </w:t>
            </w:r>
            <w:r w:rsidRPr="00BF0FF7">
              <w:rPr>
                <w:rFonts w:ascii="Arial" w:eastAsia="Times New Roman" w:hAnsi="Arial" w:cs="Arial"/>
                <w:color w:val="252525"/>
                <w:lang w:val="de-DE" w:eastAsia="de-DE"/>
              </w:rPr>
              <w:t> </w:t>
            </w:r>
          </w:p>
        </w:tc>
        <w:tc>
          <w:tcPr>
            <w:tcW w:w="4561" w:type="dxa"/>
            <w:shd w:val="clear" w:color="auto" w:fill="F9F9F9"/>
            <w:tcMar>
              <w:top w:w="48" w:type="dxa"/>
              <w:left w:w="72" w:type="dxa"/>
              <w:bottom w:w="72" w:type="dxa"/>
              <w:right w:w="240" w:type="dxa"/>
            </w:tcMar>
            <w:hideMark/>
          </w:tcPr>
          <w:p w:rsidR="00EE2419" w:rsidRPr="00EE2419" w:rsidRDefault="00AC3C32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  <w:t xml:space="preserve">Ni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  <w:t>homoseksualnih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  <w:t>skupnosti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67" w:type="dxa"/>
            <w:shd w:val="clear" w:color="auto" w:fill="F9F9F9"/>
            <w:tcMar>
              <w:top w:w="48" w:type="dxa"/>
              <w:left w:w="72" w:type="dxa"/>
              <w:bottom w:w="72" w:type="dxa"/>
              <w:right w:w="72" w:type="dxa"/>
            </w:tcMar>
            <w:hideMark/>
          </w:tcPr>
          <w:p w:rsidR="00EE2419" w:rsidRPr="00EE2419" w:rsidRDefault="00EE2419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</w:pPr>
            <w:r w:rsidRPr="00EE241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6" w:space="0" w:color="000000" w:frame="1"/>
                <w:shd w:val="clear" w:color="auto" w:fill="E73E21"/>
                <w:lang w:val="en-US" w:eastAsia="de-DE"/>
              </w:rPr>
              <w:t> </w:t>
            </w:r>
            <w:r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4064" w:type="dxa"/>
            <w:shd w:val="clear" w:color="auto" w:fill="F9F9F9"/>
            <w:tcMar>
              <w:top w:w="48" w:type="dxa"/>
              <w:left w:w="72" w:type="dxa"/>
              <w:bottom w:w="72" w:type="dxa"/>
              <w:right w:w="72" w:type="dxa"/>
            </w:tcMar>
            <w:hideMark/>
          </w:tcPr>
          <w:p w:rsidR="00EE2419" w:rsidRPr="00EE2419" w:rsidRDefault="00662306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  <w:t>Dož</w:t>
            </w:r>
            <w:r w:rsidR="00EE2419"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  <w:t>ivljenska</w:t>
            </w:r>
            <w:proofErr w:type="spellEnd"/>
            <w:r w:rsidR="00EE2419"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="00EE2419"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  <w:t>zaporna</w:t>
            </w:r>
            <w:proofErr w:type="spellEnd"/>
            <w:r w:rsidR="00EE2419"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="00EE2419"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  <w:t>kazen</w:t>
            </w:r>
            <w:proofErr w:type="spellEnd"/>
          </w:p>
        </w:tc>
      </w:tr>
      <w:tr w:rsidR="00EE2419" w:rsidRPr="00EE2419" w:rsidTr="00EE2419">
        <w:trPr>
          <w:trHeight w:val="45"/>
        </w:trPr>
        <w:tc>
          <w:tcPr>
            <w:tcW w:w="667" w:type="dxa"/>
            <w:shd w:val="clear" w:color="auto" w:fill="F9F9F9"/>
            <w:tcMar>
              <w:top w:w="48" w:type="dxa"/>
              <w:left w:w="72" w:type="dxa"/>
              <w:bottom w:w="72" w:type="dxa"/>
              <w:right w:w="72" w:type="dxa"/>
            </w:tcMar>
            <w:hideMark/>
          </w:tcPr>
          <w:p w:rsidR="00EE2419" w:rsidRPr="00BF0FF7" w:rsidRDefault="00EE2419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lang w:val="en-US" w:eastAsia="de-DE"/>
              </w:rPr>
            </w:pPr>
          </w:p>
        </w:tc>
        <w:tc>
          <w:tcPr>
            <w:tcW w:w="4561" w:type="dxa"/>
            <w:shd w:val="clear" w:color="auto" w:fill="F9F9F9"/>
            <w:tcMar>
              <w:top w:w="48" w:type="dxa"/>
              <w:left w:w="72" w:type="dxa"/>
              <w:bottom w:w="72" w:type="dxa"/>
              <w:right w:w="240" w:type="dxa"/>
            </w:tcMar>
            <w:hideMark/>
          </w:tcPr>
          <w:p w:rsidR="00EE2419" w:rsidRPr="00EE2419" w:rsidRDefault="00EE2419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</w:pPr>
          </w:p>
        </w:tc>
        <w:tc>
          <w:tcPr>
            <w:tcW w:w="667" w:type="dxa"/>
            <w:shd w:val="clear" w:color="auto" w:fill="F9F9F9"/>
            <w:tcMar>
              <w:top w:w="48" w:type="dxa"/>
              <w:left w:w="72" w:type="dxa"/>
              <w:bottom w:w="72" w:type="dxa"/>
              <w:right w:w="72" w:type="dxa"/>
            </w:tcMar>
            <w:hideMark/>
          </w:tcPr>
          <w:p w:rsidR="00EE2419" w:rsidRPr="00EE2419" w:rsidRDefault="00EE2419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</w:pPr>
            <w:r w:rsidRPr="00EE241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6" w:space="0" w:color="000000" w:frame="1"/>
                <w:shd w:val="clear" w:color="auto" w:fill="8C210F"/>
                <w:lang w:val="en-US" w:eastAsia="de-DE"/>
              </w:rPr>
              <w:t> </w:t>
            </w:r>
            <w:r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4064" w:type="dxa"/>
            <w:shd w:val="clear" w:color="auto" w:fill="F9F9F9"/>
            <w:tcMar>
              <w:top w:w="48" w:type="dxa"/>
              <w:left w:w="72" w:type="dxa"/>
              <w:bottom w:w="72" w:type="dxa"/>
              <w:right w:w="72" w:type="dxa"/>
            </w:tcMar>
            <w:hideMark/>
          </w:tcPr>
          <w:p w:rsidR="00EE2419" w:rsidRPr="00EE2419" w:rsidRDefault="00EE2419" w:rsidP="00EE2419">
            <w:pPr>
              <w:spacing w:after="0" w:line="288" w:lineRule="atLeast"/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</w:pPr>
            <w:proofErr w:type="spellStart"/>
            <w:r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Smrtna</w:t>
            </w:r>
            <w:proofErr w:type="spellEnd"/>
            <w:r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E2419">
              <w:rPr>
                <w:rFonts w:ascii="Arial" w:eastAsia="Times New Roman" w:hAnsi="Arial" w:cs="Arial"/>
                <w:color w:val="252525"/>
                <w:sz w:val="20"/>
                <w:szCs w:val="20"/>
                <w:lang w:val="de-DE" w:eastAsia="de-DE"/>
              </w:rPr>
              <w:t>kazen</w:t>
            </w:r>
            <w:proofErr w:type="spellEnd"/>
          </w:p>
        </w:tc>
      </w:tr>
    </w:tbl>
    <w:p w:rsidR="008C3C2D" w:rsidRPr="00BF0FF7" w:rsidRDefault="008C3C2D" w:rsidP="00634AD0">
      <w:pPr>
        <w:rPr>
          <w:noProof/>
          <w:sz w:val="24"/>
          <w:szCs w:val="24"/>
        </w:rPr>
      </w:pPr>
    </w:p>
    <w:p w:rsidR="008C3C2D" w:rsidRPr="00D47F46" w:rsidRDefault="008C3C2D" w:rsidP="008C3C2D">
      <w:pPr>
        <w:pStyle w:val="Odstavekseznama"/>
        <w:numPr>
          <w:ilvl w:val="0"/>
          <w:numId w:val="1"/>
        </w:numPr>
        <w:rPr>
          <w:b/>
          <w:noProof/>
          <w:sz w:val="24"/>
          <w:szCs w:val="24"/>
        </w:rPr>
      </w:pPr>
      <w:r w:rsidRPr="00D47F46">
        <w:rPr>
          <w:b/>
          <w:noProof/>
          <w:sz w:val="24"/>
          <w:szCs w:val="24"/>
        </w:rPr>
        <w:t>Verski pogled na homoseksualnost:</w:t>
      </w:r>
    </w:p>
    <w:p w:rsidR="008C3C2D" w:rsidRPr="00EF5ABD" w:rsidRDefault="00662306" w:rsidP="00EF5ABD">
      <w:pPr>
        <w:pStyle w:val="Odstavekseznama"/>
        <w:numPr>
          <w:ilvl w:val="0"/>
          <w:numId w:val="4"/>
        </w:numPr>
        <w:rPr>
          <w:noProof/>
          <w:sz w:val="24"/>
          <w:szCs w:val="24"/>
          <w:u w:val="single"/>
        </w:rPr>
      </w:pPr>
      <w:r w:rsidRPr="00EF5ABD">
        <w:rPr>
          <w:noProof/>
          <w:sz w:val="24"/>
          <w:szCs w:val="24"/>
          <w:u w:val="single"/>
        </w:rPr>
        <w:t>Kršč</w:t>
      </w:r>
      <w:r w:rsidR="008C3C2D" w:rsidRPr="00EF5ABD">
        <w:rPr>
          <w:noProof/>
          <w:sz w:val="24"/>
          <w:szCs w:val="24"/>
          <w:u w:val="single"/>
        </w:rPr>
        <w:t>anstvo:</w:t>
      </w:r>
    </w:p>
    <w:p w:rsidR="007A3FF3" w:rsidRDefault="007A3FF3" w:rsidP="008C3C2D">
      <w:pPr>
        <w:pStyle w:val="Odstavekseznama"/>
        <w:rPr>
          <w:noProof/>
          <w:sz w:val="24"/>
          <w:szCs w:val="24"/>
        </w:rPr>
      </w:pPr>
      <w:r w:rsidRPr="00BF0FF7">
        <w:rPr>
          <w:noProof/>
          <w:sz w:val="24"/>
          <w:szCs w:val="24"/>
        </w:rPr>
        <w:t>Kristijani</w:t>
      </w:r>
      <w:r w:rsidR="00662306">
        <w:rPr>
          <w:noProof/>
          <w:sz w:val="24"/>
          <w:szCs w:val="24"/>
        </w:rPr>
        <w:t xml:space="preserve"> so do homoseksualcev strpni, uč</w:t>
      </w:r>
      <w:r w:rsidRPr="00BF0FF7">
        <w:rPr>
          <w:noProof/>
          <w:sz w:val="24"/>
          <w:szCs w:val="24"/>
        </w:rPr>
        <w:t xml:space="preserve">ijo pa, da so odnosi med njimi greh. </w:t>
      </w:r>
    </w:p>
    <w:p w:rsidR="00EE2419" w:rsidRPr="00EF5ABD" w:rsidRDefault="00EE2419" w:rsidP="00EF5ABD">
      <w:pPr>
        <w:pStyle w:val="Odstavekseznama"/>
        <w:numPr>
          <w:ilvl w:val="0"/>
          <w:numId w:val="4"/>
        </w:numPr>
        <w:rPr>
          <w:noProof/>
          <w:sz w:val="24"/>
          <w:szCs w:val="24"/>
          <w:u w:val="single"/>
        </w:rPr>
      </w:pPr>
      <w:r w:rsidRPr="00EF5ABD">
        <w:rPr>
          <w:noProof/>
          <w:sz w:val="24"/>
          <w:szCs w:val="24"/>
          <w:u w:val="single"/>
        </w:rPr>
        <w:t>Judovstvo:</w:t>
      </w:r>
    </w:p>
    <w:p w:rsidR="00EE2419" w:rsidRPr="00EE2419" w:rsidRDefault="00EE2419" w:rsidP="008C3C2D">
      <w:pPr>
        <w:pStyle w:val="Odstavekseznama"/>
        <w:rPr>
          <w:noProof/>
          <w:sz w:val="24"/>
          <w:szCs w:val="24"/>
        </w:rPr>
      </w:pPr>
      <w:r>
        <w:rPr>
          <w:noProof/>
          <w:sz w:val="24"/>
          <w:szCs w:val="24"/>
        </w:rPr>
        <w:t>Ortodoksni judje homoseksualcev ne sprejemajo in njihov o</w:t>
      </w:r>
      <w:r w:rsidR="00662306">
        <w:rPr>
          <w:noProof/>
          <w:sz w:val="24"/>
          <w:szCs w:val="24"/>
        </w:rPr>
        <w:t>dnos označ</w:t>
      </w:r>
      <w:r w:rsidR="00382D86">
        <w:rPr>
          <w:noProof/>
          <w:sz w:val="24"/>
          <w:szCs w:val="24"/>
        </w:rPr>
        <w:t>ujejo kot gre</w:t>
      </w:r>
      <w:r w:rsidR="00662306">
        <w:rPr>
          <w:noProof/>
          <w:sz w:val="24"/>
          <w:szCs w:val="24"/>
        </w:rPr>
        <w:t>š</w:t>
      </w:r>
      <w:r w:rsidR="00382D86">
        <w:rPr>
          <w:noProof/>
          <w:sz w:val="24"/>
          <w:szCs w:val="24"/>
        </w:rPr>
        <w:t>en.</w:t>
      </w:r>
    </w:p>
    <w:p w:rsidR="007A3FF3" w:rsidRPr="00EF5ABD" w:rsidRDefault="007A3FF3" w:rsidP="00EF5ABD">
      <w:pPr>
        <w:pStyle w:val="Odstavekseznama"/>
        <w:numPr>
          <w:ilvl w:val="0"/>
          <w:numId w:val="4"/>
        </w:numPr>
        <w:rPr>
          <w:noProof/>
          <w:sz w:val="24"/>
          <w:szCs w:val="24"/>
          <w:u w:val="single"/>
        </w:rPr>
      </w:pPr>
      <w:r w:rsidRPr="00EF5ABD">
        <w:rPr>
          <w:noProof/>
          <w:sz w:val="24"/>
          <w:szCs w:val="24"/>
          <w:u w:val="single"/>
        </w:rPr>
        <w:t>Islam:</w:t>
      </w:r>
    </w:p>
    <w:p w:rsidR="009C24E4" w:rsidRPr="00382D86" w:rsidRDefault="007A3FF3" w:rsidP="00382D86">
      <w:pPr>
        <w:pStyle w:val="Odstavekseznama"/>
        <w:rPr>
          <w:noProof/>
          <w:sz w:val="24"/>
          <w:szCs w:val="24"/>
        </w:rPr>
      </w:pPr>
      <w:r w:rsidRPr="00BF0FF7">
        <w:rPr>
          <w:noProof/>
          <w:sz w:val="24"/>
          <w:szCs w:val="24"/>
        </w:rPr>
        <w:t>Muslimani homoseksualcev popolnoma ne sprejemajo, saj</w:t>
      </w:r>
      <w:r w:rsidR="001C1368" w:rsidRPr="00BF0FF7">
        <w:rPr>
          <w:noProof/>
          <w:sz w:val="24"/>
          <w:szCs w:val="24"/>
        </w:rPr>
        <w:t xml:space="preserve"> mislijo, da je njihov odnos nenaraven.</w:t>
      </w:r>
      <w:r w:rsidRPr="00BF0FF7">
        <w:rPr>
          <w:noProof/>
          <w:sz w:val="24"/>
          <w:szCs w:val="24"/>
        </w:rPr>
        <w:t xml:space="preserve"> </w:t>
      </w:r>
      <w:r w:rsidR="00662306">
        <w:rPr>
          <w:noProof/>
          <w:sz w:val="24"/>
          <w:szCs w:val="24"/>
        </w:rPr>
        <w:t xml:space="preserve"> V drž</w:t>
      </w:r>
      <w:r w:rsidR="001C1368" w:rsidRPr="00BF0FF7">
        <w:rPr>
          <w:noProof/>
          <w:sz w:val="24"/>
          <w:szCs w:val="24"/>
        </w:rPr>
        <w:t xml:space="preserve">avah </w:t>
      </w:r>
      <w:r w:rsidR="00B63BD5">
        <w:rPr>
          <w:noProof/>
          <w:sz w:val="24"/>
          <w:szCs w:val="24"/>
        </w:rPr>
        <w:t>ortodoksnega i</w:t>
      </w:r>
      <w:r w:rsidR="001C1368" w:rsidRPr="00BF0FF7">
        <w:rPr>
          <w:noProof/>
          <w:sz w:val="24"/>
          <w:szCs w:val="24"/>
        </w:rPr>
        <w:t>slama je tako homoseksualnost kaznovana z zaporno kaznijo oz. ponekod celo s smrtjo.</w:t>
      </w:r>
    </w:p>
    <w:p w:rsidR="00634AD0" w:rsidRPr="00BF0FF7" w:rsidRDefault="00634AD0" w:rsidP="008C3C2D">
      <w:pPr>
        <w:pStyle w:val="Odstavekseznama"/>
        <w:rPr>
          <w:noProof/>
          <w:sz w:val="24"/>
          <w:szCs w:val="24"/>
        </w:rPr>
      </w:pPr>
    </w:p>
    <w:p w:rsidR="00634AD0" w:rsidRPr="00D47F46" w:rsidRDefault="00662306" w:rsidP="00634AD0">
      <w:pPr>
        <w:pStyle w:val="Odstavekseznama"/>
        <w:numPr>
          <w:ilvl w:val="0"/>
          <w:numId w:val="1"/>
        </w:num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Homoseksualnost v č</w:t>
      </w:r>
      <w:r w:rsidR="00634AD0" w:rsidRPr="00D47F46">
        <w:rPr>
          <w:b/>
          <w:noProof/>
          <w:sz w:val="24"/>
          <w:szCs w:val="24"/>
        </w:rPr>
        <w:t>asu nacizma</w:t>
      </w:r>
      <w:r w:rsidR="008C1BC0" w:rsidRPr="00D47F46">
        <w:rPr>
          <w:b/>
          <w:noProof/>
          <w:sz w:val="24"/>
          <w:szCs w:val="24"/>
        </w:rPr>
        <w:t>:</w:t>
      </w:r>
    </w:p>
    <w:p w:rsidR="008C1BC0" w:rsidRPr="00BF0FF7" w:rsidRDefault="00BF0FF7" w:rsidP="00BF0FF7">
      <w:pPr>
        <w:pStyle w:val="Odstavekseznama"/>
        <w:rPr>
          <w:noProof/>
          <w:sz w:val="24"/>
          <w:szCs w:val="24"/>
        </w:rPr>
      </w:pPr>
      <w:r w:rsidRPr="00BF0FF7">
        <w:rPr>
          <w:noProof/>
          <w:sz w:val="24"/>
          <w:szCs w:val="24"/>
        </w:rPr>
        <w:t>Tako geji kot lezbijke so bili ene izmed najbolj preganjanih in d</w:t>
      </w:r>
      <w:r w:rsidR="00662306">
        <w:rPr>
          <w:noProof/>
          <w:sz w:val="24"/>
          <w:szCs w:val="24"/>
        </w:rPr>
        <w:t>iskriminiranih skupin v nacistični Nemč</w:t>
      </w:r>
      <w:r w:rsidRPr="00BF0FF7">
        <w:rPr>
          <w:noProof/>
          <w:sz w:val="24"/>
          <w:szCs w:val="24"/>
        </w:rPr>
        <w:t>iji. Nacisti so v svojem zakoniku imeli zapisano, da morajo biti nenaravna spolna deja</w:t>
      </w:r>
      <w:r w:rsidR="00662306">
        <w:rPr>
          <w:noProof/>
          <w:sz w:val="24"/>
          <w:szCs w:val="24"/>
        </w:rPr>
        <w:t>nja (spolni odnosi med dvema moškima, med človekom in ž</w:t>
      </w:r>
      <w:r w:rsidRPr="00BF0FF7">
        <w:rPr>
          <w:noProof/>
          <w:sz w:val="24"/>
          <w:szCs w:val="24"/>
        </w:rPr>
        <w:t>ivalijo...) kaznovana z zaporno kaznijo.</w:t>
      </w:r>
      <w:r w:rsidR="00662306">
        <w:rPr>
          <w:noProof/>
          <w:sz w:val="24"/>
          <w:szCs w:val="24"/>
        </w:rPr>
        <w:t xml:space="preserve"> </w:t>
      </w:r>
      <w:r w:rsidRPr="00BF0FF7">
        <w:rPr>
          <w:noProof/>
          <w:sz w:val="24"/>
          <w:szCs w:val="24"/>
        </w:rPr>
        <w:t xml:space="preserve">Med letoma </w:t>
      </w:r>
      <w:r w:rsidR="00662306">
        <w:rPr>
          <w:noProof/>
          <w:sz w:val="24"/>
          <w:szCs w:val="24"/>
        </w:rPr>
        <w:t>1933 in 1945 je bilo 100.000 moš</w:t>
      </w:r>
      <w:r w:rsidRPr="00BF0FF7">
        <w:rPr>
          <w:noProof/>
          <w:sz w:val="24"/>
          <w:szCs w:val="24"/>
        </w:rPr>
        <w:t xml:space="preserve">kih aretiranih zaradi gejevstva, 50.000 pa jih je bilo obsojenih. </w:t>
      </w:r>
    </w:p>
    <w:p w:rsidR="00634AD0" w:rsidRDefault="00634AD0" w:rsidP="00634AD0">
      <w:pPr>
        <w:pStyle w:val="Odstavekseznama"/>
        <w:rPr>
          <w:noProof/>
          <w:sz w:val="24"/>
          <w:szCs w:val="24"/>
        </w:rPr>
      </w:pPr>
      <w:r w:rsidRPr="00BF0FF7">
        <w:rPr>
          <w:noProof/>
          <w:sz w:val="24"/>
          <w:szCs w:val="24"/>
        </w:rPr>
        <w:t>V nekdanji Zvezni republiki Nemčiji, recimo, so homoseksualnost dekriminalizirali leta 1969, vendar pa je trajalo vse do leta 1985, da je takratni zvezni predsednik prvič javno priznal množične poboje homoseksualcev v času nacizma.</w:t>
      </w:r>
    </w:p>
    <w:p w:rsidR="009A1E3A" w:rsidRDefault="009A1E3A" w:rsidP="00634AD0">
      <w:pPr>
        <w:pStyle w:val="Odstavekseznama"/>
        <w:rPr>
          <w:noProof/>
          <w:sz w:val="24"/>
          <w:szCs w:val="24"/>
        </w:rPr>
      </w:pPr>
    </w:p>
    <w:p w:rsidR="00DD4C25" w:rsidRDefault="00DD4C25" w:rsidP="00634AD0">
      <w:pPr>
        <w:pStyle w:val="Odstavekseznama"/>
        <w:rPr>
          <w:noProof/>
          <w:sz w:val="24"/>
          <w:szCs w:val="24"/>
        </w:rPr>
      </w:pPr>
    </w:p>
    <w:p w:rsidR="00DD4C25" w:rsidRDefault="00DD4C25" w:rsidP="00634AD0">
      <w:pPr>
        <w:pStyle w:val="Odstavekseznama"/>
        <w:rPr>
          <w:noProof/>
          <w:sz w:val="24"/>
          <w:szCs w:val="24"/>
        </w:rPr>
      </w:pPr>
    </w:p>
    <w:p w:rsidR="00DD4C25" w:rsidRPr="00DD4C25" w:rsidRDefault="00662306" w:rsidP="00DD4C25">
      <w:pPr>
        <w:pStyle w:val="Odstavekseznama"/>
        <w:numPr>
          <w:ilvl w:val="0"/>
          <w:numId w:val="1"/>
        </w:num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Število h</w:t>
      </w:r>
      <w:r w:rsidR="00DD4C25" w:rsidRPr="00DD4C25">
        <w:rPr>
          <w:b/>
          <w:noProof/>
          <w:sz w:val="24"/>
          <w:szCs w:val="24"/>
        </w:rPr>
        <w:t>omoseksualcev:</w:t>
      </w:r>
    </w:p>
    <w:p w:rsidR="009A1E3A" w:rsidRDefault="00B63BD5" w:rsidP="00DD4C25">
      <w:pPr>
        <w:pStyle w:val="Odstavekseznama"/>
        <w:rPr>
          <w:noProof/>
          <w:sz w:val="24"/>
          <w:szCs w:val="24"/>
        </w:rPr>
      </w:pPr>
      <w:r>
        <w:rPr>
          <w:noProof/>
          <w:sz w:val="24"/>
          <w:szCs w:val="24"/>
        </w:rPr>
        <w:t>Tež</w:t>
      </w:r>
      <w:r w:rsidR="00662306">
        <w:rPr>
          <w:noProof/>
          <w:sz w:val="24"/>
          <w:szCs w:val="24"/>
        </w:rPr>
        <w:t>ko je določiti resnično š</w:t>
      </w:r>
      <w:r w:rsidR="00AA7935">
        <w:rPr>
          <w:noProof/>
          <w:sz w:val="24"/>
          <w:szCs w:val="24"/>
        </w:rPr>
        <w:t xml:space="preserve">tevilo </w:t>
      </w:r>
      <w:r w:rsidR="00662306">
        <w:rPr>
          <w:noProof/>
          <w:sz w:val="24"/>
          <w:szCs w:val="24"/>
        </w:rPr>
        <w:t xml:space="preserve">homoseksualcev na svetu, saj </w:t>
      </w:r>
      <w:r>
        <w:rPr>
          <w:noProof/>
          <w:sz w:val="24"/>
          <w:szCs w:val="24"/>
        </w:rPr>
        <w:t xml:space="preserve">številni </w:t>
      </w:r>
      <w:r w:rsidR="00AA7935">
        <w:rPr>
          <w:noProof/>
          <w:sz w:val="24"/>
          <w:szCs w:val="24"/>
        </w:rPr>
        <w:t>svoje spolne us</w:t>
      </w:r>
      <w:r w:rsidR="00662306">
        <w:rPr>
          <w:noProof/>
          <w:sz w:val="24"/>
          <w:szCs w:val="24"/>
        </w:rPr>
        <w:t xml:space="preserve">merjenosti </w:t>
      </w:r>
      <w:r>
        <w:rPr>
          <w:noProof/>
          <w:sz w:val="24"/>
          <w:szCs w:val="24"/>
        </w:rPr>
        <w:t>ne priznavajo javno</w:t>
      </w:r>
      <w:r w:rsidR="00AA7935">
        <w:rPr>
          <w:noProof/>
          <w:sz w:val="24"/>
          <w:szCs w:val="24"/>
        </w:rPr>
        <w:t>.</w:t>
      </w:r>
    </w:p>
    <w:p w:rsidR="00AA7935" w:rsidRDefault="00AA7935" w:rsidP="00AA7935">
      <w:pPr>
        <w:pStyle w:val="Odstavekseznama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V eni izmed raziskav, ki </w:t>
      </w:r>
      <w:r w:rsidR="00B63BD5">
        <w:rPr>
          <w:noProof/>
          <w:sz w:val="24"/>
          <w:szCs w:val="24"/>
        </w:rPr>
        <w:t xml:space="preserve">je objavljena na </w:t>
      </w:r>
      <w:r>
        <w:rPr>
          <w:noProof/>
          <w:sz w:val="24"/>
          <w:szCs w:val="24"/>
        </w:rPr>
        <w:t>spletu, je navedeno, da je 9 milijonov celotnega prebivalstva ZDA homoseksualcev, kar predstavlja 3.5 % celotnega a</w:t>
      </w:r>
      <w:r w:rsidR="00662306">
        <w:rPr>
          <w:noProof/>
          <w:sz w:val="24"/>
          <w:szCs w:val="24"/>
        </w:rPr>
        <w:t>meriš</w:t>
      </w:r>
      <w:r>
        <w:rPr>
          <w:noProof/>
          <w:sz w:val="24"/>
          <w:szCs w:val="24"/>
        </w:rPr>
        <w:t>kega prebivalstva.</w:t>
      </w:r>
    </w:p>
    <w:p w:rsidR="005E69BD" w:rsidRDefault="005E69BD" w:rsidP="00AA7935">
      <w:pPr>
        <w:pStyle w:val="Odstavekseznama"/>
        <w:rPr>
          <w:noProof/>
          <w:sz w:val="24"/>
          <w:szCs w:val="24"/>
        </w:rPr>
      </w:pPr>
    </w:p>
    <w:p w:rsidR="00AA7935" w:rsidRDefault="00B63BD5" w:rsidP="005E69BD">
      <w:pPr>
        <w:pStyle w:val="Odstavekseznama"/>
        <w:rPr>
          <w:noProof/>
          <w:sz w:val="24"/>
          <w:szCs w:val="24"/>
        </w:rPr>
      </w:pPr>
      <w:r>
        <w:rPr>
          <w:noProof/>
          <w:sz w:val="24"/>
          <w:szCs w:val="24"/>
        </w:rPr>
        <w:t>Delež</w:t>
      </w:r>
      <w:r w:rsidR="005E69BD">
        <w:rPr>
          <w:noProof/>
          <w:sz w:val="24"/>
          <w:szCs w:val="24"/>
        </w:rPr>
        <w:t xml:space="preserve"> homoseksualcev in heteroseksualcev v Z</w:t>
      </w:r>
      <w:r w:rsidR="00662306">
        <w:rPr>
          <w:noProof/>
          <w:sz w:val="24"/>
          <w:szCs w:val="24"/>
        </w:rPr>
        <w:t>druženih držav</w:t>
      </w:r>
      <w:r w:rsidR="005E69BD">
        <w:rPr>
          <w:noProof/>
          <w:sz w:val="24"/>
          <w:szCs w:val="24"/>
        </w:rPr>
        <w:t>ah Amerike, glede na starost in spol.</w:t>
      </w:r>
    </w:p>
    <w:p w:rsidR="005E69BD" w:rsidRPr="005E69BD" w:rsidRDefault="005E69BD" w:rsidP="005E69BD">
      <w:pPr>
        <w:pStyle w:val="Odstavekseznama"/>
        <w:rPr>
          <w:noProof/>
          <w:sz w:val="24"/>
          <w:szCs w:val="24"/>
        </w:rPr>
      </w:pPr>
    </w:p>
    <w:tbl>
      <w:tblPr>
        <w:tblStyle w:val="Srednjamrea1poudarek1"/>
        <w:tblW w:w="0" w:type="auto"/>
        <w:tblInd w:w="1003" w:type="dxa"/>
        <w:tblLook w:val="04A0" w:firstRow="1" w:lastRow="0" w:firstColumn="1" w:lastColumn="0" w:noHBand="0" w:noVBand="1"/>
      </w:tblPr>
      <w:tblGrid>
        <w:gridCol w:w="2404"/>
        <w:gridCol w:w="1412"/>
        <w:gridCol w:w="1534"/>
        <w:gridCol w:w="1883"/>
      </w:tblGrid>
      <w:tr w:rsidR="00AA7935" w:rsidRPr="00AA7935" w:rsidTr="00AA7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Starost/Spol</w:t>
            </w:r>
          </w:p>
        </w:tc>
        <w:tc>
          <w:tcPr>
            <w:tcW w:w="1412" w:type="dxa"/>
            <w:hideMark/>
          </w:tcPr>
          <w:p w:rsidR="00AA7935" w:rsidRPr="00AA7935" w:rsidRDefault="005E69BD" w:rsidP="00AA7935">
            <w:pPr>
              <w:pStyle w:val="Odstavekseznama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D</w:t>
            </w:r>
            <w:r w:rsidR="00AA7935">
              <w:rPr>
                <w:noProof/>
                <w:sz w:val="24"/>
                <w:szCs w:val="24"/>
                <w:lang w:val="de-DE"/>
              </w:rPr>
              <w:t>a</w:t>
            </w:r>
          </w:p>
        </w:tc>
        <w:tc>
          <w:tcPr>
            <w:tcW w:w="1534" w:type="dxa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Ne</w:t>
            </w:r>
          </w:p>
        </w:tc>
        <w:tc>
          <w:tcPr>
            <w:tcW w:w="1743" w:type="dxa"/>
            <w:hideMark/>
          </w:tcPr>
          <w:p w:rsidR="00AA7935" w:rsidRPr="00AA7935" w:rsidRDefault="005E69BD" w:rsidP="00AA7935">
            <w:pPr>
              <w:pStyle w:val="Odstavekseznama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 xml:space="preserve">Brez odgovora </w:t>
            </w:r>
          </w:p>
        </w:tc>
      </w:tr>
      <w:tr w:rsidR="00AA7935" w:rsidRPr="00AA7935" w:rsidTr="00AA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18-29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6.4%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90.1%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3.5%</w:t>
            </w:r>
          </w:p>
        </w:tc>
      </w:tr>
      <w:tr w:rsidR="00AA7935" w:rsidRPr="00AA7935" w:rsidTr="00AA7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30-49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3.2%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93.6%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3.2%</w:t>
            </w:r>
          </w:p>
        </w:tc>
      </w:tr>
      <w:tr w:rsidR="00AA7935" w:rsidRPr="00AA7935" w:rsidTr="00AA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50-64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2.6%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93.1%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4.3%</w:t>
            </w:r>
          </w:p>
        </w:tc>
      </w:tr>
      <w:tr w:rsidR="00AA7935" w:rsidRPr="00AA7935" w:rsidTr="00AA7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65+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1.9%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91.5%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6.5%</w:t>
            </w:r>
          </w:p>
        </w:tc>
      </w:tr>
      <w:tr w:rsidR="00AA7935" w:rsidRPr="00AA7935" w:rsidTr="00AA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rPr>
                <w:noProof/>
                <w:sz w:val="24"/>
                <w:szCs w:val="24"/>
                <w:lang w:val="de-DE"/>
              </w:rPr>
            </w:pPr>
          </w:p>
        </w:tc>
      </w:tr>
      <w:tr w:rsidR="00AA7935" w:rsidRPr="00AA7935" w:rsidTr="00AA7935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 xml:space="preserve">18-29, </w:t>
            </w:r>
            <w:r w:rsidR="00662306">
              <w:rPr>
                <w:noProof/>
                <w:sz w:val="24"/>
                <w:szCs w:val="24"/>
                <w:lang w:val="de-DE"/>
              </w:rPr>
              <w:t>Ž</w:t>
            </w:r>
            <w:r>
              <w:rPr>
                <w:noProof/>
                <w:sz w:val="24"/>
                <w:szCs w:val="24"/>
                <w:lang w:val="de-DE"/>
              </w:rPr>
              <w:t>enske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8.3%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88.0%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3.8%</w:t>
            </w:r>
          </w:p>
        </w:tc>
      </w:tr>
      <w:tr w:rsidR="00AA7935" w:rsidRPr="00AA7935" w:rsidTr="00AA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 xml:space="preserve">18-29, </w:t>
            </w:r>
            <w:r w:rsidR="00662306">
              <w:rPr>
                <w:noProof/>
                <w:sz w:val="24"/>
                <w:szCs w:val="24"/>
                <w:lang w:val="de-DE"/>
              </w:rPr>
              <w:t>Moš</w:t>
            </w:r>
            <w:r>
              <w:rPr>
                <w:noProof/>
                <w:sz w:val="24"/>
                <w:szCs w:val="24"/>
                <w:lang w:val="de-DE"/>
              </w:rPr>
              <w:t>ki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4.6%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92.1%</w:t>
            </w:r>
          </w:p>
        </w:tc>
        <w:tc>
          <w:tcPr>
            <w:tcW w:w="0" w:type="auto"/>
            <w:hideMark/>
          </w:tcPr>
          <w:p w:rsidR="00AA7935" w:rsidRPr="00AA7935" w:rsidRDefault="00AA7935" w:rsidP="00AA7935">
            <w:pPr>
              <w:pStyle w:val="Odstavekseznama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de-DE"/>
              </w:rPr>
            </w:pPr>
            <w:r w:rsidRPr="00AA7935">
              <w:rPr>
                <w:noProof/>
                <w:sz w:val="24"/>
                <w:szCs w:val="24"/>
                <w:lang w:val="de-DE"/>
              </w:rPr>
              <w:t>3.3%</w:t>
            </w:r>
            <w:r w:rsidRPr="00AA7935">
              <w:rPr>
                <w:noProof/>
                <w:sz w:val="24"/>
                <w:szCs w:val="24"/>
                <w:lang w:val="de-DE"/>
              </w:rPr>
              <w:br/>
            </w:r>
          </w:p>
        </w:tc>
      </w:tr>
    </w:tbl>
    <w:p w:rsidR="00AA7935" w:rsidRDefault="00AA7935" w:rsidP="00AA7935">
      <w:pPr>
        <w:pStyle w:val="Odstavekseznama"/>
        <w:rPr>
          <w:noProof/>
          <w:sz w:val="24"/>
          <w:szCs w:val="24"/>
        </w:rPr>
      </w:pPr>
    </w:p>
    <w:p w:rsidR="00B63BD5" w:rsidRDefault="005E69BD" w:rsidP="005E69BD">
      <w:pPr>
        <w:pStyle w:val="Odstavekseznama"/>
        <w:rPr>
          <w:noProof/>
          <w:sz w:val="24"/>
          <w:szCs w:val="24"/>
        </w:rPr>
      </w:pPr>
      <w:r>
        <w:rPr>
          <w:noProof/>
          <w:sz w:val="24"/>
          <w:szCs w:val="24"/>
        </w:rPr>
        <w:t>Iz te raziskave lahko ugotov</w:t>
      </w:r>
      <w:r w:rsidR="00662306">
        <w:rPr>
          <w:noProof/>
          <w:sz w:val="24"/>
          <w:szCs w:val="24"/>
        </w:rPr>
        <w:t>imo, da je homoseksualcev največ</w:t>
      </w:r>
      <w:r>
        <w:rPr>
          <w:noProof/>
          <w:sz w:val="24"/>
          <w:szCs w:val="24"/>
        </w:rPr>
        <w:t xml:space="preserve"> m</w:t>
      </w:r>
      <w:r w:rsidR="00B63BD5">
        <w:rPr>
          <w:noProof/>
          <w:sz w:val="24"/>
          <w:szCs w:val="24"/>
        </w:rPr>
        <w:t>ed mladimi ljudmi, in da delež</w:t>
      </w:r>
      <w:r>
        <w:rPr>
          <w:noProof/>
          <w:sz w:val="24"/>
          <w:szCs w:val="24"/>
        </w:rPr>
        <w:t xml:space="preserve"> teh s starostjo pada. Ugotovimo pa lahko tudi to, da je lezbijk</w:t>
      </w:r>
      <w:r w:rsidR="00662306">
        <w:rPr>
          <w:noProof/>
          <w:sz w:val="24"/>
          <w:szCs w:val="24"/>
        </w:rPr>
        <w:t xml:space="preserve"> več</w:t>
      </w:r>
      <w:r>
        <w:rPr>
          <w:noProof/>
          <w:sz w:val="24"/>
          <w:szCs w:val="24"/>
        </w:rPr>
        <w:t xml:space="preserve"> kot gejev. </w:t>
      </w:r>
      <w:r w:rsidR="00B63BD5">
        <w:rPr>
          <w:noProof/>
          <w:sz w:val="24"/>
          <w:szCs w:val="24"/>
        </w:rPr>
        <w:t xml:space="preserve"> </w:t>
      </w:r>
    </w:p>
    <w:p w:rsidR="00B63BD5" w:rsidRDefault="00B63BD5" w:rsidP="005E69BD">
      <w:pPr>
        <w:pStyle w:val="Odstavekseznama"/>
        <w:rPr>
          <w:noProof/>
          <w:sz w:val="24"/>
          <w:szCs w:val="24"/>
        </w:rPr>
      </w:pPr>
    </w:p>
    <w:p w:rsidR="008C1BC0" w:rsidRDefault="00B63BD5" w:rsidP="00B63BD5">
      <w:pPr>
        <w:pStyle w:val="Odstavekseznama"/>
        <w:rPr>
          <w:noProof/>
          <w:sz w:val="24"/>
          <w:szCs w:val="24"/>
        </w:rPr>
      </w:pPr>
      <w:r>
        <w:rPr>
          <w:noProof/>
          <w:sz w:val="24"/>
          <w:szCs w:val="24"/>
        </w:rPr>
        <w:t>Lenart in Tadej</w:t>
      </w:r>
    </w:p>
    <w:p w:rsidR="00B63BD5" w:rsidRPr="00EF5ABD" w:rsidRDefault="00B63BD5" w:rsidP="00B63BD5">
      <w:pPr>
        <w:pStyle w:val="Odstavekseznama"/>
        <w:rPr>
          <w:noProof/>
          <w:sz w:val="24"/>
          <w:szCs w:val="24"/>
        </w:rPr>
      </w:pPr>
    </w:p>
    <w:p w:rsidR="001C1368" w:rsidRPr="00DD4C25" w:rsidRDefault="00D47F46" w:rsidP="008C3C2D">
      <w:pPr>
        <w:pStyle w:val="Odstavekseznama"/>
        <w:rPr>
          <w:b/>
          <w:noProof/>
          <w:sz w:val="24"/>
          <w:szCs w:val="24"/>
        </w:rPr>
      </w:pPr>
      <w:r w:rsidRPr="00DD4C25">
        <w:rPr>
          <w:b/>
          <w:noProof/>
          <w:sz w:val="24"/>
          <w:szCs w:val="24"/>
        </w:rPr>
        <w:t>Viri:</w:t>
      </w:r>
    </w:p>
    <w:p w:rsidR="00D47F46" w:rsidRPr="00AB6C7C" w:rsidRDefault="00D47F46" w:rsidP="008C3C2D">
      <w:pPr>
        <w:pStyle w:val="Odstavekseznama"/>
        <w:numPr>
          <w:ilvl w:val="0"/>
          <w:numId w:val="3"/>
        </w:numPr>
        <w:rPr>
          <w:noProof/>
          <w:sz w:val="24"/>
          <w:szCs w:val="24"/>
        </w:rPr>
      </w:pPr>
      <w:r w:rsidRPr="00D51FD6">
        <w:rPr>
          <w:noProof/>
          <w:sz w:val="24"/>
          <w:szCs w:val="24"/>
        </w:rPr>
        <w:t>https://en.wikipedia.org/wiki/Persecution_of_homosexuals_in_Nazi_Germany_and_the_Holocaust</w:t>
      </w:r>
      <w:r w:rsidR="00D51FD6">
        <w:rPr>
          <w:noProof/>
          <w:sz w:val="24"/>
          <w:szCs w:val="24"/>
        </w:rPr>
        <w:t>,</w:t>
      </w:r>
      <w:r w:rsidR="00AB6C7C">
        <w:rPr>
          <w:noProof/>
          <w:sz w:val="24"/>
          <w:szCs w:val="24"/>
        </w:rPr>
        <w:t xml:space="preserve"> (dostopno: 11. 11. 2015)</w:t>
      </w:r>
    </w:p>
    <w:p w:rsidR="00D47F46" w:rsidRPr="00D47F46" w:rsidRDefault="00AB6C7C" w:rsidP="00AB6C7C">
      <w:pPr>
        <w:pStyle w:val="Odstavekseznama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D47F46" w:rsidRPr="00D51FD6">
        <w:rPr>
          <w:noProof/>
          <w:sz w:val="24"/>
          <w:szCs w:val="24"/>
        </w:rPr>
        <w:t>http://erlah.net/category/homoseksualnost/</w:t>
      </w:r>
      <w:r w:rsidR="00D51FD6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(dostopno: 12. 11. 2015)</w:t>
      </w:r>
    </w:p>
    <w:p w:rsidR="00D47F46" w:rsidRPr="00D47F46" w:rsidRDefault="00D47F46" w:rsidP="00AB6C7C">
      <w:pPr>
        <w:pStyle w:val="Odstavekseznama"/>
        <w:numPr>
          <w:ilvl w:val="0"/>
          <w:numId w:val="2"/>
        </w:numPr>
        <w:rPr>
          <w:noProof/>
          <w:sz w:val="24"/>
          <w:szCs w:val="24"/>
        </w:rPr>
      </w:pPr>
      <w:r w:rsidRPr="00D51FD6">
        <w:rPr>
          <w:noProof/>
          <w:sz w:val="24"/>
          <w:szCs w:val="24"/>
        </w:rPr>
        <w:t>https://en.wikipedia.org/wiki/Homosexuality</w:t>
      </w:r>
      <w:r w:rsidR="00D51FD6">
        <w:rPr>
          <w:noProof/>
          <w:sz w:val="24"/>
          <w:szCs w:val="24"/>
        </w:rPr>
        <w:t>,</w:t>
      </w:r>
      <w:r w:rsidR="00AB6C7C">
        <w:rPr>
          <w:noProof/>
          <w:sz w:val="24"/>
          <w:szCs w:val="24"/>
        </w:rPr>
        <w:t xml:space="preserve"> (dostopno: 10. 11. 2015)</w:t>
      </w:r>
    </w:p>
    <w:p w:rsidR="00D47F46" w:rsidRDefault="00D47F46" w:rsidP="00AB6C7C">
      <w:pPr>
        <w:pStyle w:val="Odstavekseznama"/>
        <w:numPr>
          <w:ilvl w:val="0"/>
          <w:numId w:val="2"/>
        </w:numPr>
        <w:rPr>
          <w:noProof/>
          <w:sz w:val="24"/>
          <w:szCs w:val="24"/>
        </w:rPr>
      </w:pPr>
      <w:r w:rsidRPr="00D51FD6">
        <w:rPr>
          <w:noProof/>
          <w:sz w:val="24"/>
          <w:szCs w:val="24"/>
        </w:rPr>
        <w:t>http://www.narobe.si/?option=com_blankcomponent&amp;view=default&amp;Itemid=105</w:t>
      </w:r>
      <w:r w:rsidR="00D51FD6">
        <w:rPr>
          <w:noProof/>
          <w:sz w:val="24"/>
          <w:szCs w:val="24"/>
        </w:rPr>
        <w:t>,</w:t>
      </w:r>
      <w:r w:rsidR="00AB6C7C">
        <w:rPr>
          <w:noProof/>
          <w:sz w:val="24"/>
          <w:szCs w:val="24"/>
        </w:rPr>
        <w:t xml:space="preserve"> (dostopno: 12. 11. 2015)</w:t>
      </w:r>
    </w:p>
    <w:p w:rsidR="007C6472" w:rsidRPr="00D47F46" w:rsidRDefault="007C6472" w:rsidP="007C6472">
      <w:pPr>
        <w:pStyle w:val="Odstavekseznama"/>
        <w:numPr>
          <w:ilvl w:val="0"/>
          <w:numId w:val="2"/>
        </w:numPr>
        <w:rPr>
          <w:noProof/>
          <w:sz w:val="24"/>
          <w:szCs w:val="24"/>
        </w:rPr>
      </w:pPr>
      <w:r w:rsidRPr="007C6472">
        <w:rPr>
          <w:noProof/>
          <w:sz w:val="24"/>
          <w:szCs w:val="24"/>
        </w:rPr>
        <w:t>Tjaša Lukežič</w:t>
      </w:r>
      <w:r>
        <w:rPr>
          <w:noProof/>
          <w:sz w:val="24"/>
          <w:szCs w:val="24"/>
        </w:rPr>
        <w:t xml:space="preserve"> in Iris Nedelko, Odnos ljudi do homoseksualnosti (raziskovalna naloga)</w:t>
      </w:r>
      <w:r w:rsidR="00B51E98">
        <w:rPr>
          <w:noProof/>
          <w:sz w:val="24"/>
          <w:szCs w:val="24"/>
        </w:rPr>
        <w:t xml:space="preserve">, </w:t>
      </w:r>
      <w:r w:rsidR="00D51FD6">
        <w:rPr>
          <w:noProof/>
          <w:sz w:val="24"/>
          <w:szCs w:val="24"/>
        </w:rPr>
        <w:t>Jesenice 8. 4. 2005</w:t>
      </w:r>
    </w:p>
    <w:p w:rsidR="00D47F46" w:rsidRDefault="00D47F46" w:rsidP="008C3C2D">
      <w:pPr>
        <w:pStyle w:val="Odstavekseznama"/>
        <w:rPr>
          <w:noProof/>
        </w:rPr>
      </w:pPr>
    </w:p>
    <w:p w:rsidR="00D47F46" w:rsidRPr="00A56521" w:rsidRDefault="00D47F46" w:rsidP="008C3C2D">
      <w:pPr>
        <w:pStyle w:val="Odstavekseznama"/>
        <w:rPr>
          <w:noProof/>
        </w:rPr>
      </w:pPr>
    </w:p>
    <w:sectPr w:rsidR="00D47F46" w:rsidRPr="00A565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6D56"/>
    <w:multiLevelType w:val="hybridMultilevel"/>
    <w:tmpl w:val="6216722C"/>
    <w:lvl w:ilvl="0" w:tplc="1CF438D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C7B9B"/>
    <w:multiLevelType w:val="hybridMultilevel"/>
    <w:tmpl w:val="3A820882"/>
    <w:lvl w:ilvl="0" w:tplc="DA0200FC">
      <w:start w:val="4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9E63FA9"/>
    <w:multiLevelType w:val="hybridMultilevel"/>
    <w:tmpl w:val="3A08A4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C5E66"/>
    <w:multiLevelType w:val="hybridMultilevel"/>
    <w:tmpl w:val="95CE8498"/>
    <w:lvl w:ilvl="0" w:tplc="8E7A76B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21"/>
    <w:rsid w:val="000B338F"/>
    <w:rsid w:val="001C1368"/>
    <w:rsid w:val="001F312B"/>
    <w:rsid w:val="00296793"/>
    <w:rsid w:val="00320622"/>
    <w:rsid w:val="00382D86"/>
    <w:rsid w:val="003B6DCA"/>
    <w:rsid w:val="004E2B4A"/>
    <w:rsid w:val="005072DB"/>
    <w:rsid w:val="005E69BD"/>
    <w:rsid w:val="00634AD0"/>
    <w:rsid w:val="00662306"/>
    <w:rsid w:val="00671F23"/>
    <w:rsid w:val="00727F6A"/>
    <w:rsid w:val="007A3FF3"/>
    <w:rsid w:val="007C6472"/>
    <w:rsid w:val="00836070"/>
    <w:rsid w:val="008C1BC0"/>
    <w:rsid w:val="008C3C2D"/>
    <w:rsid w:val="00997F98"/>
    <w:rsid w:val="009A1E3A"/>
    <w:rsid w:val="009B5319"/>
    <w:rsid w:val="009C24E4"/>
    <w:rsid w:val="009E3880"/>
    <w:rsid w:val="00A56521"/>
    <w:rsid w:val="00AA7935"/>
    <w:rsid w:val="00AB6C7C"/>
    <w:rsid w:val="00AC3C32"/>
    <w:rsid w:val="00B51E98"/>
    <w:rsid w:val="00B63BD5"/>
    <w:rsid w:val="00BF0FF7"/>
    <w:rsid w:val="00C077C9"/>
    <w:rsid w:val="00D47F46"/>
    <w:rsid w:val="00D51FD6"/>
    <w:rsid w:val="00DD4C25"/>
    <w:rsid w:val="00EE2419"/>
    <w:rsid w:val="00EF5ABD"/>
    <w:rsid w:val="00F82B2A"/>
    <w:rsid w:val="00F83EB3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56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6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A565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56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l-SI"/>
    </w:rPr>
  </w:style>
  <w:style w:type="paragraph" w:styleId="Odstavekseznama">
    <w:name w:val="List Paragraph"/>
    <w:basedOn w:val="Navaden"/>
    <w:uiPriority w:val="34"/>
    <w:qFormat/>
    <w:rsid w:val="00A5652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5319"/>
    <w:rPr>
      <w:rFonts w:ascii="Tahoma" w:hAnsi="Tahoma" w:cs="Tahoma"/>
      <w:sz w:val="16"/>
      <w:szCs w:val="16"/>
      <w:lang w:val="sl-SI"/>
    </w:rPr>
  </w:style>
  <w:style w:type="character" w:styleId="Hiperpovezava">
    <w:name w:val="Hyperlink"/>
    <w:basedOn w:val="Privzetapisavaodstavka"/>
    <w:uiPriority w:val="99"/>
    <w:unhideWhenUsed/>
    <w:rsid w:val="00D47F46"/>
    <w:rPr>
      <w:color w:val="0000FF" w:themeColor="hyperlink"/>
      <w:u w:val="single"/>
    </w:rPr>
  </w:style>
  <w:style w:type="table" w:styleId="Srednjamrea1poudarek1">
    <w:name w:val="Medium Grid 1 Accent 1"/>
    <w:basedOn w:val="Navadnatabela"/>
    <w:uiPriority w:val="67"/>
    <w:rsid w:val="00AA793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56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6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A565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56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l-SI"/>
    </w:rPr>
  </w:style>
  <w:style w:type="paragraph" w:styleId="Odstavekseznama">
    <w:name w:val="List Paragraph"/>
    <w:basedOn w:val="Navaden"/>
    <w:uiPriority w:val="34"/>
    <w:qFormat/>
    <w:rsid w:val="00A5652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5319"/>
    <w:rPr>
      <w:rFonts w:ascii="Tahoma" w:hAnsi="Tahoma" w:cs="Tahoma"/>
      <w:sz w:val="16"/>
      <w:szCs w:val="16"/>
      <w:lang w:val="sl-SI"/>
    </w:rPr>
  </w:style>
  <w:style w:type="character" w:styleId="Hiperpovezava">
    <w:name w:val="Hyperlink"/>
    <w:basedOn w:val="Privzetapisavaodstavka"/>
    <w:uiPriority w:val="99"/>
    <w:unhideWhenUsed/>
    <w:rsid w:val="00D47F46"/>
    <w:rPr>
      <w:color w:val="0000FF" w:themeColor="hyperlink"/>
      <w:u w:val="single"/>
    </w:rPr>
  </w:style>
  <w:style w:type="table" w:styleId="Srednjamrea1poudarek1">
    <w:name w:val="Medium Grid 1 Accent 1"/>
    <w:basedOn w:val="Navadnatabela"/>
    <w:uiPriority w:val="67"/>
    <w:rsid w:val="00AA793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ame-sex_marriag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AA68-E865-44AF-8985-79CD57C0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GWS Leutkirch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danijel</cp:lastModifiedBy>
  <cp:revision>2</cp:revision>
  <dcterms:created xsi:type="dcterms:W3CDTF">2016-11-07T09:37:00Z</dcterms:created>
  <dcterms:modified xsi:type="dcterms:W3CDTF">2016-11-07T09:37:00Z</dcterms:modified>
</cp:coreProperties>
</file>